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DF" w:rsidRPr="00836820" w:rsidRDefault="00850ADF" w:rsidP="00850ADF">
      <w:pPr>
        <w:pStyle w:val="a3"/>
        <w:rPr>
          <w:b/>
          <w:i/>
          <w:sz w:val="28"/>
        </w:rPr>
      </w:pP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КАРАЧАЕВО-ЧЕРКЕССКАЯ РЕСПУБЛИКА</w:t>
      </w:r>
    </w:p>
    <w:p w:rsidR="00850ADF" w:rsidRDefault="00850ADF" w:rsidP="00850AD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>
        <w:rPr>
          <w:rFonts w:ascii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4"/>
        </w:rPr>
        <w:t>3 г. УСТЬ-ДЖЕГУТЫ»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УСТЬ-ДЖЕГУТИНСКОГО МУНИЦИПАЛЬНОГО РАЙОНА</w:t>
      </w:r>
    </w:p>
    <w:p w:rsidR="00850ADF" w:rsidRDefault="00850ADF" w:rsidP="00850ADF">
      <w:pPr>
        <w:spacing w:after="0"/>
        <w:ind w:firstLine="426"/>
        <w:rPr>
          <w:rFonts w:ascii="Times New Roman" w:hAnsi="Times New Roman"/>
          <w:b/>
          <w:i/>
          <w:sz w:val="28"/>
        </w:rPr>
      </w:pP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b/>
          <w:i/>
          <w:sz w:val="28"/>
        </w:rPr>
      </w:pP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Утверждено.</w:t>
      </w: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школы</w:t>
      </w: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Н.Ш. </w:t>
      </w:r>
      <w:proofErr w:type="spellStart"/>
      <w:r>
        <w:rPr>
          <w:rFonts w:ascii="Times New Roman" w:hAnsi="Times New Roman"/>
          <w:color w:val="000000"/>
        </w:rPr>
        <w:t>Лобжанидзе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Приказ от ___________2021</w:t>
      </w:r>
      <w:r w:rsidRPr="001C2E8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</w:t>
      </w:r>
    </w:p>
    <w:p w:rsidR="00850ADF" w:rsidRDefault="00850ADF" w:rsidP="00850ADF">
      <w:pPr>
        <w:ind w:firstLine="426"/>
        <w:jc w:val="right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___________</w:t>
      </w:r>
    </w:p>
    <w:p w:rsidR="00850ADF" w:rsidRDefault="00850ADF" w:rsidP="00850ADF">
      <w:pPr>
        <w:rPr>
          <w:rFonts w:ascii="Times New Roman" w:hAnsi="Times New Roman"/>
        </w:rPr>
      </w:pPr>
    </w:p>
    <w:p w:rsidR="00850ADF" w:rsidRDefault="00850ADF" w:rsidP="00850ADF">
      <w:pPr>
        <w:ind w:firstLine="426"/>
        <w:jc w:val="both"/>
        <w:rPr>
          <w:rFonts w:ascii="Times New Roman" w:hAnsi="Times New Roman"/>
        </w:rPr>
      </w:pP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850ADF" w:rsidRPr="00954E61" w:rsidRDefault="00850ADF" w:rsidP="00850ADF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по родному (карачаевскому) языку </w:t>
      </w:r>
    </w:p>
    <w:p w:rsidR="00850ADF" w:rsidRDefault="00850ADF" w:rsidP="00850ADF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52"/>
        </w:rPr>
        <w:t xml:space="preserve">для </w:t>
      </w:r>
      <w:r w:rsidRPr="002169DD">
        <w:rPr>
          <w:rFonts w:ascii="Times New Roman" w:hAnsi="Times New Roman"/>
          <w:b/>
          <w:sz w:val="52"/>
        </w:rPr>
        <w:t>6</w:t>
      </w:r>
      <w:r>
        <w:rPr>
          <w:rFonts w:ascii="Times New Roman" w:hAnsi="Times New Roman"/>
          <w:b/>
          <w:sz w:val="52"/>
        </w:rPr>
        <w:t xml:space="preserve"> класса</w:t>
      </w:r>
    </w:p>
    <w:p w:rsidR="00850ADF" w:rsidRDefault="00850ADF" w:rsidP="00850ADF">
      <w:pPr>
        <w:ind w:firstLine="426"/>
        <w:rPr>
          <w:rFonts w:ascii="Times New Roman" w:hAnsi="Times New Roman"/>
          <w:b/>
          <w:sz w:val="24"/>
        </w:rPr>
      </w:pPr>
    </w:p>
    <w:p w:rsidR="00850ADF" w:rsidRDefault="00850ADF" w:rsidP="00850ADF">
      <w:pPr>
        <w:rPr>
          <w:rFonts w:ascii="Times New Roman" w:hAnsi="Times New Roman"/>
        </w:rPr>
      </w:pP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Разработана учителем </w:t>
      </w: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родного языка и литературы   </w:t>
      </w: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Зухрой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Назировной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sz w:val="28"/>
        </w:rPr>
      </w:pPr>
    </w:p>
    <w:p w:rsidR="00850ADF" w:rsidRDefault="00850ADF" w:rsidP="00850ADF">
      <w:pPr>
        <w:spacing w:after="0"/>
        <w:ind w:firstLine="426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ind w:firstLine="426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ind w:firstLine="426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jc w:val="center"/>
        <w:rPr>
          <w:rFonts w:ascii="Times New Roman" w:hAnsi="Times New Roman"/>
          <w:sz w:val="28"/>
        </w:rPr>
      </w:pPr>
    </w:p>
    <w:p w:rsidR="00850ADF" w:rsidRDefault="00850ADF" w:rsidP="00850ADF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</w:t>
      </w:r>
      <w:r w:rsidR="00F13C9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-202</w:t>
      </w:r>
      <w:r w:rsidR="00F13C98">
        <w:rPr>
          <w:rFonts w:ascii="Times New Roman" w:hAnsi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учебный год.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</w:p>
    <w:p w:rsidR="00850ADF" w:rsidRDefault="00850ADF" w:rsidP="00850ADF">
      <w:pPr>
        <w:pStyle w:val="a3"/>
        <w:rPr>
          <w:rFonts w:ascii="Times New Roman" w:hAnsi="Times New Roman"/>
          <w:b/>
          <w:sz w:val="24"/>
        </w:rPr>
      </w:pPr>
    </w:p>
    <w:p w:rsidR="00850ADF" w:rsidRDefault="00850ADF" w:rsidP="00850AD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50ADF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b/>
          <w:color w:val="222222"/>
          <w:sz w:val="28"/>
          <w:szCs w:val="28"/>
          <w:lang w:eastAsia="ru-RU"/>
        </w:rPr>
        <w:t>(ИШ ПРОГРАММА)</w:t>
      </w: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курса </w:t>
      </w:r>
      <w:r w:rsidRPr="007D3FDF">
        <w:rPr>
          <w:rFonts w:ascii="Times New Roman" w:hAnsi="Times New Roman"/>
          <w:b/>
          <w:sz w:val="28"/>
          <w:szCs w:val="28"/>
        </w:rPr>
        <w:t>«Родной язык 6 класс»</w:t>
      </w:r>
    </w:p>
    <w:p w:rsidR="00850ADF" w:rsidRPr="007D3FDF" w:rsidRDefault="00850ADF" w:rsidP="00850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>Класс: 6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 xml:space="preserve">Уровень образования:                   основное общее образование 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>Срок реализации программы:    20</w:t>
      </w:r>
      <w:r>
        <w:rPr>
          <w:rFonts w:ascii="Times New Roman" w:hAnsi="Times New Roman"/>
          <w:b/>
          <w:sz w:val="28"/>
          <w:szCs w:val="28"/>
        </w:rPr>
        <w:t>21</w:t>
      </w:r>
      <w:r w:rsidRPr="007D3FD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7D3FD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>Уровень изучения предмета:       базовый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>Количество часов по учебному плану:     68-2 часа в неделю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FDF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и литературе 1 – 11 классов (2018г.), авторской программы Мамаевой Ф. Т., </w:t>
      </w:r>
      <w:proofErr w:type="spellStart"/>
      <w:r w:rsidRPr="007D3FDF">
        <w:rPr>
          <w:rFonts w:ascii="Times New Roman" w:hAnsi="Times New Roman"/>
          <w:sz w:val="28"/>
          <w:szCs w:val="28"/>
        </w:rPr>
        <w:t>Чотчаевой</w:t>
      </w:r>
      <w:proofErr w:type="spellEnd"/>
      <w:r w:rsidRPr="007D3FDF">
        <w:rPr>
          <w:rFonts w:ascii="Times New Roman" w:hAnsi="Times New Roman"/>
          <w:sz w:val="28"/>
          <w:szCs w:val="28"/>
        </w:rPr>
        <w:t xml:space="preserve"> Р. У., </w:t>
      </w:r>
      <w:proofErr w:type="spellStart"/>
      <w:r w:rsidRPr="007D3FDF">
        <w:rPr>
          <w:rFonts w:ascii="Times New Roman" w:hAnsi="Times New Roman"/>
          <w:sz w:val="28"/>
          <w:szCs w:val="28"/>
        </w:rPr>
        <w:t>Бостановой</w:t>
      </w:r>
      <w:proofErr w:type="spellEnd"/>
      <w:r w:rsidRPr="007D3FDF"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 w:rsidRPr="007D3FDF">
        <w:rPr>
          <w:rFonts w:ascii="Times New Roman" w:hAnsi="Times New Roman"/>
          <w:sz w:val="28"/>
          <w:szCs w:val="28"/>
        </w:rPr>
        <w:t>Коркмазовой</w:t>
      </w:r>
      <w:proofErr w:type="spellEnd"/>
      <w:r w:rsidRPr="007D3FDF">
        <w:rPr>
          <w:rFonts w:ascii="Times New Roman" w:hAnsi="Times New Roman"/>
          <w:sz w:val="28"/>
          <w:szCs w:val="28"/>
        </w:rPr>
        <w:t xml:space="preserve"> З.Н., </w:t>
      </w:r>
      <w:proofErr w:type="spellStart"/>
      <w:r w:rsidRPr="007D3F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емрезовой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/>
          <w:sz w:val="28"/>
          <w:szCs w:val="28"/>
        </w:rPr>
        <w:t>Умаровой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К.И., </w:t>
      </w:r>
      <w:proofErr w:type="spellStart"/>
      <w:r w:rsidRPr="007D3FDF">
        <w:rPr>
          <w:rFonts w:ascii="Times New Roman" w:hAnsi="Times New Roman"/>
          <w:sz w:val="28"/>
          <w:szCs w:val="28"/>
        </w:rPr>
        <w:t>Доюнова</w:t>
      </w:r>
      <w:proofErr w:type="spellEnd"/>
      <w:r w:rsidRPr="007D3FDF">
        <w:rPr>
          <w:rFonts w:ascii="Times New Roman" w:hAnsi="Times New Roman"/>
          <w:sz w:val="28"/>
          <w:szCs w:val="28"/>
        </w:rPr>
        <w:t xml:space="preserve"> А.М., Мамаевой З.Н.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Курс карачаевского языка в 6 классе направлен на</w:t>
      </w:r>
      <w:r w:rsidRPr="007D3FD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достижение следующих </w:t>
      </w:r>
      <w:r w:rsidRPr="007D3FD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целей,</w:t>
      </w:r>
      <w:r w:rsidRPr="007D3FD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обеспечивающих реализацию личностно ориентированного, </w:t>
      </w:r>
      <w:proofErr w:type="spellStart"/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когнитивно</w:t>
      </w:r>
      <w:proofErr w:type="spellEnd"/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-коммун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икативного, </w:t>
      </w:r>
      <w:proofErr w:type="spellStart"/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деятельностного</w:t>
      </w:r>
      <w:proofErr w:type="spellEnd"/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подходов к обучению родному языку: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воспитание бережного отношения к языку;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развитие и совершенствование речевой и мыслительной деятельности, обеспечивающих свободное владение родным языком;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освоение знаний о карачаевском языке, его устройстве и функционировании в различных сферах и ситуациях общения;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применение полученных знаний и умений в собственной речевой практике.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  Требования к уровню </w:t>
      </w: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учащихся в 6 классе. 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7D3FD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 результате изучения карачаевского языка учащиеся должны знать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850A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– основные единицы языка (существительное, глагол, прилагательное, числитель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ное, наречие, местоимение) и их признаки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– основные нормы 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карачаевского языка (орфоэпические, лексические, грамматические, орфографические, пунктуац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ионные); нормы речевого этикета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</w:r>
    </w:p>
    <w:p w:rsidR="00850A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– признаки текста и его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функционально-смысловых типов 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(повествование, описание, рассуждение);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Уметь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опознавать изученные части речи ( 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употреблять изученные части речи, учитывая основные нормы карачаевского языка;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-опознавать и воспринимать на слух тексты разных типов речи;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анализировать тексты всех типов в речи с точки зрения особенности их построения;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создавать тексты всех типов речи в соответствии с темой, замыслом, композицией и заданным стилем речи;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При составлении рабочей программы предусмотрены следующие</w:t>
      </w: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виды контроля: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диктант (выборочный, распределительный, словарный, с грамматическим заданием, творческий, объяснительный, слуховой, предупредительный);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тестирование;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зачёт;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изложение (сжатое, близкое к тексту, с элементами сочинения);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Программа рассчитана на 68 часов, 2 часа в неделю. Часы из школьного компонента используются на углубление некоторых тем разделов «Лексика», «Словообразование», «Морфология»; для уроков развития речи (сжатое изложение, изложение с элементами сочинения), для выполнения творческих работ, рабо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т над ошибками.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>В том числе для проведения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контрольных диктантов – 6 часов, изложений – 2 часа.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При изучении следующих тем используется </w:t>
      </w: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региональный компонент: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1.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Виды и способы связи предложений в тексте. (Тема «Природа родной страны – наш животворный источник»)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Переходные и непереходные глаголы. (Тема «Родной край»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)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3.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Условное наклонение. (Тема «Труд в жизни человека»)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4.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Склонение числительных. (Тема «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Пословицы и погов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орки – мудрость нашего народа»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)</w:t>
      </w:r>
    </w:p>
    <w:p w:rsidR="00850A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850ADF" w:rsidRPr="00850A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850ADF" w:rsidRPr="006033A8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УРОКОВ ПО КАРАЧАЕВСКОМУ ЯЗЫКУ</w:t>
      </w:r>
    </w:p>
    <w:p w:rsidR="00850ADF" w:rsidRDefault="00850ADF" w:rsidP="00850AD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D3FDF">
        <w:rPr>
          <w:rFonts w:ascii="Times New Roman" w:hAnsi="Times New Roman"/>
          <w:b/>
          <w:bCs/>
          <w:sz w:val="28"/>
          <w:szCs w:val="28"/>
          <w:lang w:eastAsia="ru-RU"/>
        </w:rPr>
        <w:t>Родной язык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Къарачай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sz w:val="28"/>
          <w:szCs w:val="28"/>
          <w:lang w:eastAsia="ru-RU"/>
        </w:rPr>
        <w:t>6 класс</w:t>
      </w: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(Эльканов </w:t>
      </w:r>
      <w:r w:rsidRPr="007D3FDF">
        <w:rPr>
          <w:rFonts w:ascii="Times New Roman" w:hAnsi="Times New Roman"/>
          <w:sz w:val="28"/>
          <w:szCs w:val="28"/>
          <w:lang w:eastAsia="ru-RU"/>
        </w:rPr>
        <w:t xml:space="preserve">М., </w:t>
      </w:r>
      <w:proofErr w:type="spellStart"/>
      <w:r w:rsidRPr="007D3FDF">
        <w:rPr>
          <w:rFonts w:ascii="Times New Roman" w:hAnsi="Times New Roman"/>
          <w:sz w:val="28"/>
          <w:szCs w:val="28"/>
          <w:lang w:eastAsia="ru-RU"/>
        </w:rPr>
        <w:t>Эльканова</w:t>
      </w:r>
      <w:proofErr w:type="spellEnd"/>
      <w:r w:rsidRPr="007D3FDF">
        <w:rPr>
          <w:rFonts w:ascii="Times New Roman" w:hAnsi="Times New Roman"/>
          <w:sz w:val="28"/>
          <w:szCs w:val="28"/>
          <w:lang w:eastAsia="ru-RU"/>
        </w:rPr>
        <w:t xml:space="preserve"> С.)  Черкесск 2010</w:t>
      </w: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043"/>
        <w:gridCol w:w="794"/>
        <w:gridCol w:w="811"/>
        <w:gridCol w:w="950"/>
      </w:tblGrid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Тема урока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Дата по плану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Дата по факту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Примеч</w:t>
            </w:r>
            <w:proofErr w:type="spellEnd"/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Повторение пройденного материала в 5 – ом классе.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§1. Словосочетание. Предложени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е. Члены предложения. Обращение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§2.  Фонетика и графика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§3. Лексика и фразеология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§4-7.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Словообразование и орфография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Контрольный диктант «</w:t>
            </w:r>
            <w:proofErr w:type="spellStart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Бууну</w:t>
            </w:r>
            <w:proofErr w:type="spellEnd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джыламукълары</w:t>
            </w:r>
            <w:proofErr w:type="spellEnd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Части речи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§8-9. Части речи.</w:t>
            </w:r>
            <w:r w:rsidRPr="007D3FDF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 xml:space="preserve"> Имя существительное. Лексическое и грамматическое </w:t>
            </w:r>
            <w:r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>значение имени существительного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§10-11. 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Простые, сложные и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составные имена существительные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§12. 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Правописание сложных 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составных имён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§13. Правописание собственных имён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§14-15. Сложно - 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сокращённые имена существительные. Правописание сложно - сокращённых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§16. Число имён существительных. Имена существительные, употре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бляющиеся только в единственном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только во множественном числах</w:t>
            </w:r>
            <w:r w:rsidRPr="007D3FDF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§17. Формы прин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адлежности имён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§18.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Значение и употребление падежей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§19. Склонение сущес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твительных формы принадлежности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§20-21. Склонение имён существительных иноязычного происхождения. Образование имён существительных из других частей речи (имён существител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ьных, глаголов, прилагательных)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трольный диктант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Къышхы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кюнде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§22. Имена су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ществительные в роли сказуемого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rPr>
          <w:trHeight w:val="89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§23-25. Уменьшительная и ласкательная форма имён существительных. Роль имён существительных в тексте.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Роль имён сущес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твительных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Имя прилагательное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§27.</w:t>
            </w:r>
            <w:r w:rsidRPr="007D3FDF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 xml:space="preserve"> Имя прилагательное. Лексическое и грамматическое</w:t>
            </w:r>
            <w:r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 xml:space="preserve"> значение имени прилагательного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§28. Качественные и относительн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ые прилагательные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§29 Степен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и сравнения имён прилагательных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§30 Простые, сложные и составные имена прилагательные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§31-32.  Употребление имён прилагательных в роли имён существительных.  Правописание прилагательных иноязычного происхож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дения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ный диктант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Заман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тохтаусузду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§33 Роль имён прил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агательных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§34 Морфологиче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ский разбор имен прилагательных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Имя числительное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§35 Имя числительное. Лексическое и грамматическое значение имён чи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слительных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§35 Количественные, порядковые, собирательны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е и разделительные числительные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§36 Простые, сложные, 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составные имена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числительные и их правописание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Контрольный диктант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§36 Имена числител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ьные в роли членов предложения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§37 Роль имён чи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слительных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§38 Морфологи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ческий разбор имён числительных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Къышны</w:t>
            </w:r>
            <w:proofErr w:type="spellEnd"/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келгени</w:t>
            </w:r>
            <w:proofErr w:type="spellEnd"/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Местоимение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§39 Значение местоимения, роль местоимения в предложении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§40 Личные местоимения.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§41 Склонение личных местоимений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  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§42 Возвратные местоимения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§42 Возвра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тные местоимения и их склонение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§43 Указательные местоимения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§44 Вопроситель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ные и относительные местоимения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§45 Определённые и неопределённые местоиме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ния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                                                                             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43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§46 Отрицательные местоимения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§47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Местоимение в форме сказуемого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§48-49 Роль местоимения в образовании текста.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Роль м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естоимения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§50 Морфологический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разбор местоимения.  Повторение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нтрольный диктант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Тарих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терек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Наречие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§51Наречие. Лексич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еское и грамматическое значение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§51 Значение наре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чий, роль наречия в предложении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Контрольный диктант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Уучула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Разряды наречий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§52 Наречия места и времени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Изложение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Къундузчукъ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§53 Наречия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образа действия, меры и степени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§54 Наречия причины и цели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§55 Простые, сложные и сос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тавные наречия, их правописание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§56 Образование на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речий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§57 Степени сравнения наречий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7 Сравнительная степень наречий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§58 Ро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ль наречий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§59 Морфологиче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ский разбор наречия. Повторение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Повторение пройденного </w:t>
            </w: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материала в 5 – 6 классах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§60-61 Разделы языка.  Орф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ография. Орфографический разбор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rPr>
          <w:trHeight w:val="3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§62 Пу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нктуация. Пунктуационный разбор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§63 Лексика и фразеология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64 Словообразо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вание.  Разбор слова по составу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§65 Мор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фология. Морфологический разбор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§66-67 Синтаксис. Синтаксически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й разбор. Текст. Стили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Годовой контрольный диктант «</w:t>
            </w:r>
            <w:proofErr w:type="spellStart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Таякъ</w:t>
            </w:r>
            <w:proofErr w:type="spellEnd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джангур</w:t>
            </w:r>
            <w:proofErr w:type="spellEnd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Итоговый урок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50ADF" w:rsidRPr="007D3FDF" w:rsidRDefault="00850ADF" w:rsidP="00850AD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</w:rPr>
        <w:t> </w:t>
      </w:r>
    </w:p>
    <w:p w:rsidR="00850ADF" w:rsidRPr="007D3FDF" w:rsidRDefault="00850ADF" w:rsidP="00850AD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360761" w:rsidRDefault="00360761"/>
    <w:sectPr w:rsidR="0036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97"/>
    <w:rsid w:val="00360761"/>
    <w:rsid w:val="00573D97"/>
    <w:rsid w:val="00850ADF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D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ADF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D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AD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точка роста</cp:lastModifiedBy>
  <cp:revision>4</cp:revision>
  <dcterms:created xsi:type="dcterms:W3CDTF">2021-09-03T18:36:00Z</dcterms:created>
  <dcterms:modified xsi:type="dcterms:W3CDTF">2022-10-07T06:39:00Z</dcterms:modified>
</cp:coreProperties>
</file>